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" w:tblpY="982"/>
        <w:tblW w:w="13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98"/>
        <w:gridCol w:w="6149"/>
        <w:gridCol w:w="3367"/>
      </w:tblGrid>
      <w:tr w:rsidR="006F1BAE" w:rsidRPr="006F1BAE" w:rsidTr="006F1BAE">
        <w:tc>
          <w:tcPr>
            <w:tcW w:w="4483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F1BAE" w:rsidRDefault="005D3F7B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nl-NL"/>
              </w:rPr>
              <w:t>H</w:t>
            </w:r>
            <w:r w:rsidR="006F1BAE" w:rsidRPr="006F1BAE">
              <w:rPr>
                <w:rFonts w:ascii="Lato" w:eastAsia="Times New Roman" w:hAnsi="Lato" w:cs="Times New Roman"/>
                <w:lang w:eastAsia="nl-NL"/>
              </w:rPr>
              <w:t>istory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focused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on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six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key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concepts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: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causation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consequence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change,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continuity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significance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perspectives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. Building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your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of these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key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concepts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vital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progression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.</w:t>
            </w:r>
            <w:r w:rsidR="006F1BAE" w:rsidRPr="006F1BAE">
              <w:rPr>
                <w:rFonts w:ascii="Lato" w:eastAsia="Times New Roman" w:hAnsi="Lato" w:cs="Times New Roman"/>
                <w:lang w:eastAsia="nl-NL"/>
              </w:rPr>
              <w:br/>
            </w:r>
            <w:r w:rsidR="006F1BAE" w:rsidRPr="006F1BAE">
              <w:rPr>
                <w:rFonts w:ascii="Lato" w:eastAsia="Times New Roman" w:hAnsi="Lato" w:cs="Times New Roman"/>
                <w:lang w:eastAsia="nl-NL"/>
              </w:rPr>
              <w:br/>
              <w:t xml:space="preserve">In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their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efforts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place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thinking at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centre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researchers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education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have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highlighted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role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concepts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such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as these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play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helping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shape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our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thinking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. These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concepts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help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think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critically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issues;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helping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identify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solve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problems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make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decisions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form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judgments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past claims, actors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issues.</w:t>
            </w:r>
            <w:r w:rsidR="006F1BAE" w:rsidRPr="006F1BAE">
              <w:rPr>
                <w:rFonts w:ascii="Lato" w:eastAsia="Times New Roman" w:hAnsi="Lato" w:cs="Times New Roman"/>
                <w:lang w:eastAsia="nl-NL"/>
              </w:rPr>
              <w:br/>
            </w:r>
            <w:r w:rsidR="006F1BAE" w:rsidRPr="006F1BAE">
              <w:rPr>
                <w:rFonts w:ascii="Lato" w:eastAsia="Times New Roman" w:hAnsi="Lato" w:cs="Times New Roman"/>
                <w:lang w:eastAsia="nl-NL"/>
              </w:rPr>
              <w:br/>
              <w:t>​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Explore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relevant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sections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below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find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out more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each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key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concept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you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can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improve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your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each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one</w:t>
            </w:r>
            <w:proofErr w:type="spellEnd"/>
            <w:r w:rsidR="006F1BAE" w:rsidRPr="006F1BAE">
              <w:rPr>
                <w:rFonts w:ascii="Lato" w:eastAsia="Times New Roman" w:hAnsi="Lato" w:cs="Times New Roman"/>
                <w:lang w:eastAsia="nl-NL"/>
              </w:rPr>
              <w:t>:</w:t>
            </w:r>
          </w:p>
          <w:p w:rsidR="005D3F7B" w:rsidRDefault="005D3F7B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</w:p>
          <w:p w:rsidR="005D3F7B" w:rsidRPr="006F1BAE" w:rsidRDefault="005D3F7B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</w:p>
        </w:tc>
        <w:tc>
          <w:tcPr>
            <w:tcW w:w="9516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F1BAE" w:rsidRPr="006F1BAE" w:rsidRDefault="005D3F7B" w:rsidP="005D3F7B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6F1BAE">
              <w:rPr>
                <w:rFonts w:ascii="Times New Roman" w:eastAsia="Times New Roman" w:hAnsi="Times New Roman" w:cs="Times New Roman"/>
                <w:lang w:eastAsia="nl-NL"/>
              </w:rPr>
              <w:fldChar w:fldCharType="begin"/>
            </w:r>
            <w:r w:rsidRPr="006F1BAE">
              <w:rPr>
                <w:rFonts w:ascii="Times New Roman" w:eastAsia="Times New Roman" w:hAnsi="Times New Roman" w:cs="Times New Roman"/>
                <w:lang w:eastAsia="nl-NL"/>
              </w:rPr>
              <w:instrText xml:space="preserve"> INCLUDEPICTURE "/var/folders/3j/h52_2ql90977yn762x8xcpfc0000gn/T/com.microsoft.Word/WebArchiveCopyPasteTempFiles/3389144_orig.png" \* MERGEFORMATINET </w:instrText>
            </w:r>
            <w:r w:rsidRPr="006F1BAE">
              <w:rPr>
                <w:rFonts w:ascii="Times New Roman" w:eastAsia="Times New Roman" w:hAnsi="Times New Roman" w:cs="Times New Roman"/>
                <w:lang w:eastAsia="nl-NL"/>
              </w:rPr>
              <w:fldChar w:fldCharType="separate"/>
            </w:r>
            <w:r w:rsidRPr="006F1BAE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1B92B5A1" wp14:editId="664EB2C9">
                  <wp:extent cx="3718500" cy="3828422"/>
                  <wp:effectExtent l="0" t="0" r="3175" b="0"/>
                  <wp:docPr id="1" name="Afbeelding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267" cy="391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BAE">
              <w:rPr>
                <w:rFonts w:ascii="Times New Roman" w:eastAsia="Times New Roman" w:hAnsi="Times New Roman" w:cs="Times New Roman"/>
                <w:lang w:eastAsia="nl-NL"/>
              </w:rPr>
              <w:fldChar w:fldCharType="end"/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Cause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Effective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thinkers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recognize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many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claims made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seek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more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thoroughly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explain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certain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set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circumstances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originated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Deep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demonstrated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recognize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most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are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caused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interplay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diverse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multiple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causes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require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make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evidence-based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judgments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causes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more important or significant,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causes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within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scope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individuals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direct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not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.</w:t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Consequence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forces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 have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shaped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future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societies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demonstrate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competency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thinkers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explain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significant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have had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both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short-term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long-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lasting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effects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use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interpretations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those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make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comparisons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between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different points in time,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r w:rsidRPr="006F1BAE">
              <w:rPr>
                <w:rFonts w:ascii="Lato" w:eastAsia="Times New Roman" w:hAnsi="Lato" w:cs="Times New Roman"/>
                <w:lang w:eastAsia="nl-NL"/>
              </w:rPr>
              <w:lastRenderedPageBreak/>
              <w:t xml:space="preserve">make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judgments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extent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those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forces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produced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long-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lasting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important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consequences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.</w:t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lastRenderedPageBreak/>
              <w:t>​</w:t>
            </w:r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Change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​The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involves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investigation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extent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bring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change.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Discussion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concept of change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sophisticated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discussions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such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think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look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change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some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claim none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exists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using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challenge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orthodox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theories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assumptions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claimed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led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significant change.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’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questions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judgments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change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based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deep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content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comparison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situation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before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after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examination.</w:t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proofErr w:type="spellStart"/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Continuity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r w:rsidRPr="006F1BAE">
              <w:rPr>
                <w:rFonts w:ascii="Lato" w:eastAsia="Times New Roman" w:hAnsi="Lato" w:cs="Times New Roman"/>
                <w:u w:val="single"/>
                <w:lang w:eastAsia="nl-NL"/>
              </w:rPr>
              <w:t>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While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often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focuses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moments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significant change,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also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aware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some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change is slow,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throughout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also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significant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continuity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can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demonstrate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deep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knowledge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understanding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br/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example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showing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awareness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times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has been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considerable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continuity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midst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great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change.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Alternatively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question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assess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whether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change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political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leadership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example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brought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change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foreign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policy,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whether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was more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accurately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mirroring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policies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previous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governments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.</w:t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proofErr w:type="spellStart"/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Perspectives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​IB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aware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sometimes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used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abused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retell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promote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grand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narrative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a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narrowly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focused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national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mythology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ignores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other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perspectives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elevate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single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perspective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position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predominance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challenge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critique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multiple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perspectives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compare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them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corroborate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them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with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recognize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every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recorded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multiple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contrasting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differing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perspectives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Using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primary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-source accounts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historians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’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interpretations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also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investigate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compare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how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including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specific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groups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such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minorities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women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have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experienced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differently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past.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way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there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are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particularly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strong links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between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exploring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multiple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perspectives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development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international-mindedness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.</w:t>
            </w:r>
          </w:p>
        </w:tc>
      </w:tr>
      <w:tr w:rsidR="006F1BAE" w:rsidRPr="006F1BAE" w:rsidTr="005D3F7B">
        <w:tblPrEx>
          <w:tblCellSpacing w:w="15" w:type="dxa"/>
          <w:tblBorders>
            <w:top w:val="single" w:sz="6" w:space="0" w:color="C9CDCF"/>
            <w:left w:val="single" w:sz="6" w:space="0" w:color="C9CDCF"/>
            <w:bottom w:val="single" w:sz="6" w:space="0" w:color="C9CDCF"/>
            <w:right w:val="single" w:sz="6" w:space="0" w:color="C9CDCF"/>
          </w:tblBorders>
        </w:tblPrEx>
        <w:trPr>
          <w:gridAfter w:val="1"/>
          <w:wAfter w:w="3367" w:type="dxa"/>
          <w:tblCellSpacing w:w="15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jc w:val="center"/>
              <w:rPr>
                <w:rFonts w:ascii="Lato" w:eastAsia="Times New Roman" w:hAnsi="Lato" w:cs="Times New Roman"/>
                <w:lang w:eastAsia="nl-NL"/>
              </w:rPr>
            </w:pPr>
            <w:proofErr w:type="spellStart"/>
            <w:r w:rsidRPr="006F1BAE">
              <w:rPr>
                <w:rFonts w:ascii="Lato" w:eastAsia="Times New Roman" w:hAnsi="Lato" w:cs="Times New Roman"/>
                <w:b/>
                <w:bCs/>
                <w:lang w:eastAsia="nl-NL"/>
              </w:rPr>
              <w:t>Significance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BAE" w:rsidRPr="006F1BAE" w:rsidRDefault="006F1BAE" w:rsidP="006F1BAE">
            <w:pPr>
              <w:spacing w:line="360" w:lineRule="atLeast"/>
              <w:rPr>
                <w:rFonts w:ascii="Lato" w:eastAsia="Times New Roman" w:hAnsi="Lato" w:cs="Times New Roman"/>
                <w:lang w:eastAsia="nl-NL"/>
              </w:rPr>
            </w:pPr>
            <w:r w:rsidRPr="006F1BAE">
              <w:rPr>
                <w:rFonts w:ascii="Lato" w:eastAsia="Times New Roman" w:hAnsi="Lato" w:cs="Times New Roman"/>
                <w:lang w:eastAsia="nl-NL"/>
              </w:rPr>
              <w:t>​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not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simply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record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all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events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have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happened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Instead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record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has been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preserved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through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traces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past,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/or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aspects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someone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consciously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decided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record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communicate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ask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questions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something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may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have been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recorded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included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in a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narrative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Similarly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be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think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has been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excluded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from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lastRenderedPageBreak/>
              <w:t>historical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narratives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for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reasons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.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Additionally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students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’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questions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should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encourage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them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to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think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assess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relative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importance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of events,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people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groups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or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developments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,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and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whether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evidence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supports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claims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that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others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make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about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their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 xml:space="preserve"> </w:t>
            </w:r>
            <w:proofErr w:type="spellStart"/>
            <w:r w:rsidRPr="006F1BAE">
              <w:rPr>
                <w:rFonts w:ascii="Lato" w:eastAsia="Times New Roman" w:hAnsi="Lato" w:cs="Times New Roman"/>
                <w:lang w:eastAsia="nl-NL"/>
              </w:rPr>
              <w:t>significance</w:t>
            </w:r>
            <w:proofErr w:type="spellEnd"/>
            <w:r w:rsidRPr="006F1BAE">
              <w:rPr>
                <w:rFonts w:ascii="Lato" w:eastAsia="Times New Roman" w:hAnsi="Lato" w:cs="Times New Roman"/>
                <w:lang w:eastAsia="nl-NL"/>
              </w:rPr>
              <w:t>.</w:t>
            </w:r>
          </w:p>
        </w:tc>
      </w:tr>
    </w:tbl>
    <w:p w:rsidR="005A3CDD" w:rsidRDefault="005054DC"/>
    <w:p w:rsidR="005D3F7B" w:rsidRDefault="005D3F7B"/>
    <w:p w:rsidR="005D3F7B" w:rsidRDefault="005D3F7B">
      <w:bookmarkStart w:id="0" w:name="_GoBack"/>
      <w:bookmarkEnd w:id="0"/>
    </w:p>
    <w:sectPr w:rsidR="005D3F7B" w:rsidSect="005D3F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AE"/>
    <w:rsid w:val="003E5D36"/>
    <w:rsid w:val="005054DC"/>
    <w:rsid w:val="005D3F7B"/>
    <w:rsid w:val="006417BD"/>
    <w:rsid w:val="006F1BAE"/>
    <w:rsid w:val="00753FCF"/>
    <w:rsid w:val="00C9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4228"/>
  <w14:defaultImageDpi w14:val="32767"/>
  <w15:chartTrackingRefBased/>
  <w15:docId w15:val="{BF1BB7A9-7D0C-B644-AB39-35E67AA6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F1BA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1BA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B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6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5030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2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07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980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2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34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84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149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446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131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967">
          <w:marLeft w:val="85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27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Pelt, Adrienne van</dc:creator>
  <cp:keywords/>
  <dc:description/>
  <cp:lastModifiedBy>Pelt, Adrienne van</cp:lastModifiedBy>
  <cp:revision>2</cp:revision>
  <dcterms:created xsi:type="dcterms:W3CDTF">2019-04-23T09:52:00Z</dcterms:created>
  <dcterms:modified xsi:type="dcterms:W3CDTF">2019-04-23T10:11:00Z</dcterms:modified>
</cp:coreProperties>
</file>